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DE" w:rsidRPr="00A81DA1" w:rsidRDefault="008F28DE" w:rsidP="008F28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5D41AD" w:rsidRPr="00F876DD" w:rsidRDefault="005D41AD" w:rsidP="005D41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6DD">
        <w:rPr>
          <w:rFonts w:ascii="Times New Roman" w:hAnsi="Times New Roman"/>
          <w:b/>
          <w:bCs/>
          <w:sz w:val="24"/>
          <w:szCs w:val="24"/>
        </w:rPr>
        <w:t>ОПИС ВАКАНТНОЇ ПОСАДИ</w:t>
      </w:r>
    </w:p>
    <w:p w:rsidR="005D41AD" w:rsidRPr="00F876DD" w:rsidRDefault="005D41AD" w:rsidP="005D41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876DD">
        <w:rPr>
          <w:rFonts w:ascii="Times New Roman" w:hAnsi="Times New Roman"/>
          <w:b/>
          <w:bCs/>
          <w:sz w:val="24"/>
          <w:szCs w:val="24"/>
        </w:rPr>
        <w:t>державної</w:t>
      </w:r>
      <w:proofErr w:type="spellEnd"/>
      <w:r w:rsidRPr="00F87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876DD">
        <w:rPr>
          <w:rFonts w:ascii="Times New Roman" w:hAnsi="Times New Roman"/>
          <w:b/>
          <w:bCs/>
          <w:sz w:val="24"/>
          <w:szCs w:val="24"/>
        </w:rPr>
        <w:t>служби</w:t>
      </w:r>
      <w:proofErr w:type="spellEnd"/>
      <w:r w:rsidRPr="00F876D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876DD">
        <w:rPr>
          <w:rFonts w:ascii="Times New Roman" w:hAnsi="Times New Roman"/>
          <w:b/>
          <w:bCs/>
          <w:sz w:val="24"/>
          <w:szCs w:val="24"/>
        </w:rPr>
        <w:t>категорії</w:t>
      </w:r>
      <w:proofErr w:type="spellEnd"/>
      <w:r w:rsidRPr="00F876DD">
        <w:rPr>
          <w:rFonts w:ascii="Times New Roman" w:hAnsi="Times New Roman"/>
          <w:b/>
          <w:bCs/>
          <w:sz w:val="24"/>
          <w:szCs w:val="24"/>
        </w:rPr>
        <w:t xml:space="preserve"> «В» - </w:t>
      </w:r>
    </w:p>
    <w:p w:rsidR="005D41AD" w:rsidRPr="005D41AD" w:rsidRDefault="005D41AD" w:rsidP="005D41A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876DD">
        <w:rPr>
          <w:rFonts w:ascii="Times New Roman" w:hAnsi="Times New Roman"/>
          <w:b/>
          <w:bCs/>
          <w:sz w:val="24"/>
          <w:szCs w:val="24"/>
        </w:rPr>
        <w:t xml:space="preserve">головного </w:t>
      </w:r>
      <w:proofErr w:type="spellStart"/>
      <w:r w:rsidRPr="00F876DD">
        <w:rPr>
          <w:rFonts w:ascii="Times New Roman" w:hAnsi="Times New Roman"/>
          <w:b/>
          <w:bCs/>
          <w:sz w:val="24"/>
          <w:szCs w:val="24"/>
        </w:rPr>
        <w:t>спеціаліста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Жмеринської окружної прокуратури</w:t>
      </w:r>
    </w:p>
    <w:p w:rsidR="008F28DE" w:rsidRDefault="005D41AD" w:rsidP="005D41AD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proofErr w:type="spellStart"/>
      <w:r w:rsidRPr="00F876DD">
        <w:rPr>
          <w:rFonts w:ascii="Times New Roman" w:eastAsia="Times New Roman" w:hAnsi="Times New Roman"/>
          <w:b/>
          <w:sz w:val="24"/>
          <w:szCs w:val="24"/>
          <w:lang w:eastAsia="ru-RU"/>
        </w:rPr>
        <w:t>Вінницької</w:t>
      </w:r>
      <w:proofErr w:type="spellEnd"/>
      <w:r w:rsidRPr="00F876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області</w:t>
      </w:r>
    </w:p>
    <w:p w:rsidR="005D41AD" w:rsidRPr="005D41AD" w:rsidRDefault="005D41AD" w:rsidP="005D41AD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7"/>
        <w:gridCol w:w="3236"/>
        <w:gridCol w:w="6092"/>
      </w:tblGrid>
      <w:tr w:rsidR="008F28DE" w:rsidRPr="00526F48" w:rsidTr="005D41AD">
        <w:trPr>
          <w:trHeight w:val="266"/>
        </w:trPr>
        <w:tc>
          <w:tcPr>
            <w:tcW w:w="3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0" w:name="n766"/>
            <w:bookmarkEnd w:id="0"/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6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1DA1" w:rsidRPr="00526F48" w:rsidRDefault="00A81DA1" w:rsidP="00A81DA1">
            <w:pPr>
              <w:tabs>
                <w:tab w:val="left" w:pos="30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F4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Забезпечення</w:t>
            </w:r>
            <w:r w:rsidRPr="00526F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ведення діловодства з дотриманням вимог Тимчасової інструкції з діловодства в органах прокуратури України:</w:t>
            </w:r>
          </w:p>
          <w:p w:rsidR="00A81DA1" w:rsidRPr="00526F48" w:rsidRDefault="00A81DA1" w:rsidP="00A81DA1">
            <w:pPr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left="3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здійснення реєстрації вхідної кореспонденції, яка надходить на адресу окружної прокуратури  шляхом створення запису облікових даних про документ  та оформлення </w:t>
            </w:r>
            <w:proofErr w:type="spellStart"/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реєстраційно</w:t>
            </w:r>
            <w:proofErr w:type="spellEnd"/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-моніторингової картки в інформаційній системі «Система електронного документообігу», </w:t>
            </w:r>
            <w:r w:rsidRPr="00526F4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щомісяця готувати зведення про документообіг;</w:t>
            </w:r>
          </w:p>
          <w:p w:rsidR="008F28DE" w:rsidRPr="00526F48" w:rsidRDefault="00A81DA1" w:rsidP="00A81DA1">
            <w:pPr>
              <w:tabs>
                <w:tab w:val="left" w:pos="144"/>
              </w:tabs>
              <w:ind w:left="37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526F48">
              <w:rPr>
                <w:rFonts w:ascii="Times New Roman" w:eastAsia="Microsoft Sans Serif" w:hAnsi="Times New Roman" w:cs="Times New Roman"/>
                <w:sz w:val="24"/>
                <w:szCs w:val="24"/>
                <w:lang w:val="uk-UA" w:eastAsia="uk-UA" w:bidi="uk-UA"/>
              </w:rPr>
              <w:t xml:space="preserve">- </w:t>
            </w:r>
            <w:r w:rsidR="002904DA">
              <w:rPr>
                <w:rFonts w:ascii="Times New Roman" w:eastAsia="Microsoft Sans Serif" w:hAnsi="Times New Roman" w:cs="Times New Roman"/>
                <w:sz w:val="24"/>
                <w:szCs w:val="24"/>
                <w:lang w:val="uk-UA" w:eastAsia="uk-UA" w:bidi="uk-UA"/>
              </w:rPr>
              <w:t>з</w:t>
            </w:r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дійснення комплексних заходів щодо ведення обліку вхідних, вихідних і внутрішніх документів: забезпечення внесення даних у Систему електронного документообігу органів прокуратури України, приймання та попередній розгляд вхідної кореспонденції, що надходить на адресу окружної прокуратури як в електронній так і в паперовій формі. </w:t>
            </w:r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строками </w:t>
            </w:r>
            <w:proofErr w:type="spellStart"/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завдань</w:t>
            </w:r>
            <w:proofErr w:type="spellEnd"/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доручень</w:t>
            </w:r>
            <w:proofErr w:type="spellEnd"/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обласної</w:t>
            </w:r>
            <w:proofErr w:type="spellEnd"/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прокуратури</w:t>
            </w:r>
            <w:proofErr w:type="spellEnd"/>
            <w:r w:rsidR="00555A02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Відповідати</w:t>
            </w:r>
            <w:proofErr w:type="spellEnd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скриньку</w:t>
            </w:r>
            <w:proofErr w:type="spellEnd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вхідної</w:t>
            </w:r>
            <w:proofErr w:type="spellEnd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кореспонденції</w:t>
            </w:r>
            <w:proofErr w:type="spellEnd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6184D" w:rsidRPr="0052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двічі</w:t>
            </w:r>
            <w:proofErr w:type="spellEnd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на день </w:t>
            </w:r>
            <w:proofErr w:type="spellStart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виїмку</w:t>
            </w:r>
            <w:proofErr w:type="spellEnd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вказанної</w:t>
            </w:r>
            <w:proofErr w:type="spellEnd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скриньки</w:t>
            </w:r>
            <w:proofErr w:type="spellEnd"/>
            <w:r w:rsidR="00555A02" w:rsidRPr="00526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8DE" w:rsidRPr="00526F48" w:rsidRDefault="008F28DE" w:rsidP="008F28DE">
            <w:pPr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забезпечення додержання вимог щодо документів з грифом «Для службового користування», що надходять і готуються в окружній прокуратурі:</w:t>
            </w:r>
          </w:p>
          <w:p w:rsidR="008F28DE" w:rsidRPr="00526F48" w:rsidRDefault="008F28DE" w:rsidP="008F28DE">
            <w:pPr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реєструвати вхідні та забезпечувати облік вихідних і внутрішніх документів з грифом «Для службового користування»;</w:t>
            </w:r>
          </w:p>
          <w:p w:rsidR="008F28DE" w:rsidRPr="00526F48" w:rsidRDefault="008F28DE" w:rsidP="008F28DE">
            <w:pPr>
              <w:tabs>
                <w:tab w:val="left" w:pos="720"/>
                <w:tab w:val="left" w:pos="12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формування виконаних документів з грифом «Для службового користування» у справи та оформляти їх відповідно до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України;</w:t>
            </w:r>
          </w:p>
          <w:p w:rsidR="008F28DE" w:rsidRPr="00526F48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uk-UA" w:eastAsia="uk-UA" w:bidi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забезпечення збереження документів з грифом «Для службового користування».</w:t>
            </w:r>
          </w:p>
          <w:p w:rsidR="008F28DE" w:rsidRPr="00526F48" w:rsidRDefault="008F28DE" w:rsidP="008F28DE">
            <w:pPr>
              <w:widowControl w:val="0"/>
              <w:spacing w:line="256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val="uk-UA" w:eastAsia="uk-UA" w:bidi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904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дійснення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виконавцю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кореспонденції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Контроль за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виконанням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взятих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контроль.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виконаних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інформаційній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системі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"Система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електронного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документообігу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Приймання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правильності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вихідних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направлення</w:t>
            </w:r>
            <w:proofErr w:type="spellEnd"/>
            <w:proofErr w:type="gram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адресатам через Систему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взаємодії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поштовим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зв'язком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Ведення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щоденних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реєстрів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відправлених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F161C3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5795" w:rsidRPr="00526F48" w:rsidRDefault="008F28DE" w:rsidP="00A81D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2904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еєстрація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матеріалів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кримінальних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проваджень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надійшли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окружної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прокуратури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Заведення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вказівкою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керівника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оперативних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proofErr w:type="gram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наглядових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проваджень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справ за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кримінальними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провадженнями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вмотивованими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висновками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позовами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Інструкції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Подальше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наповнення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наглядових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проваджень</w:t>
            </w:r>
            <w:proofErr w:type="spellEnd"/>
            <w:r w:rsidR="00C35795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документами.</w:t>
            </w:r>
          </w:p>
          <w:p w:rsidR="008F28DE" w:rsidRPr="00526F48" w:rsidRDefault="008F28DE" w:rsidP="00A81D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- </w:t>
            </w:r>
            <w:r w:rsidR="002904D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риймання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зберігання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 та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наглядових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проваджень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строки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зберігання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закінчилися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 до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архівне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зберігання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складання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описів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постійного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тривалого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зберігання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Підготовка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актів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вилучення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знищення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внесених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Національного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архівного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фонду.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збереження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надійшли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архіву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вимогам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чинного </w:t>
            </w:r>
            <w:proofErr w:type="spellStart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="00FE611B"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E611B" w:rsidRPr="00526F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 підготовки  справ до передачі на архівне зберігання, складання  описів справ тривалого ( понад 10 років) зберігання.</w:t>
            </w:r>
          </w:p>
          <w:p w:rsidR="00EA48F6" w:rsidRPr="00526F48" w:rsidRDefault="00EA48F6" w:rsidP="00EA48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526F48">
              <w:rPr>
                <w:color w:val="000000"/>
                <w:sz w:val="24"/>
                <w:szCs w:val="24"/>
              </w:rPr>
              <w:t xml:space="preserve"> </w:t>
            </w:r>
            <w:r w:rsidR="002904DA">
              <w:rPr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кладання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спільно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керівником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номенклатури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окружної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прокуратури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подальше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направлення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номенклатури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 для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погодження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обласної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прокуратури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встановлений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строк.</w:t>
            </w:r>
          </w:p>
          <w:p w:rsidR="00EA48F6" w:rsidRPr="00526F48" w:rsidRDefault="00EA48F6" w:rsidP="00EA48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26F48">
              <w:rPr>
                <w:color w:val="000000"/>
                <w:sz w:val="24"/>
                <w:szCs w:val="24"/>
                <w:lang w:val="uk-UA"/>
              </w:rPr>
              <w:t>-</w:t>
            </w:r>
            <w:r w:rsidRPr="00526F48">
              <w:rPr>
                <w:sz w:val="24"/>
                <w:szCs w:val="24"/>
              </w:rPr>
              <w:t xml:space="preserve"> </w:t>
            </w:r>
            <w:r w:rsidR="002904DA">
              <w:rPr>
                <w:sz w:val="24"/>
                <w:szCs w:val="24"/>
                <w:lang w:val="uk-UA"/>
              </w:rPr>
              <w:t>з</w:t>
            </w:r>
            <w:proofErr w:type="spellStart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>найомити</w:t>
            </w:r>
            <w:proofErr w:type="spellEnd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>вказівкою</w:t>
            </w:r>
            <w:proofErr w:type="spellEnd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>оперативних</w:t>
            </w:r>
            <w:proofErr w:type="spellEnd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526F4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документами.</w:t>
            </w:r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Виконувати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доручення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керівництва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окружної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прокуратури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пов’язані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забезпеченням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покладених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структурний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завдань</w:t>
            </w:r>
            <w:proofErr w:type="spellEnd"/>
            <w:r w:rsidRPr="005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28DE" w:rsidRPr="00555BDD" w:rsidTr="005D41AD">
        <w:trPr>
          <w:trHeight w:val="988"/>
        </w:trPr>
        <w:tc>
          <w:tcPr>
            <w:tcW w:w="3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6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468" w:rsidRPr="00526F48" w:rsidRDefault="008F28DE" w:rsidP="002154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5468"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посадовий оклад – </w:t>
            </w:r>
            <w:r w:rsidR="00213AF2"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9229</w:t>
            </w:r>
            <w:r w:rsidR="00215468"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,00 грн.;</w:t>
            </w:r>
          </w:p>
          <w:p w:rsidR="008F28DE" w:rsidRPr="00526F48" w:rsidRDefault="00215468" w:rsidP="0021546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6F4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надбавки, доплати, премії та </w:t>
            </w:r>
            <w:r w:rsidRPr="00526F48">
              <w:rPr>
                <w:rFonts w:ascii="Times New Roman" w:hAnsi="Times New Roman"/>
                <w:sz w:val="24"/>
                <w:szCs w:val="24"/>
                <w:lang w:val="uk-UA"/>
              </w:rPr>
              <w:t>компенсації    відповідно до статей 50-52 Закону України «Про державну службу», Закону України «Про Державний бюджет України на 2025 рік», постанов Кабінету Міністрів України від 18 січня 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2025 році» ( зі змінами) .</w:t>
            </w:r>
          </w:p>
        </w:tc>
      </w:tr>
      <w:tr w:rsidR="008F28DE" w:rsidRPr="00526F48" w:rsidTr="005D41AD">
        <w:trPr>
          <w:trHeight w:val="538"/>
        </w:trPr>
        <w:tc>
          <w:tcPr>
            <w:tcW w:w="3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FC72FF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Строково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дії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воєнного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стану,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посаду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переможця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спливу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місячного строку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після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стану.</w:t>
            </w:r>
          </w:p>
        </w:tc>
      </w:tr>
      <w:tr w:rsidR="008F28DE" w:rsidRPr="00526F48" w:rsidTr="005D41AD">
        <w:trPr>
          <w:trHeight w:val="1842"/>
        </w:trPr>
        <w:tc>
          <w:tcPr>
            <w:tcW w:w="3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Перелік документів, які очікуються від кандидата на посаду державної служби</w:t>
            </w: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:rsidR="008F28DE" w:rsidRPr="00526F48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:rsidR="008F28DE" w:rsidRPr="00526F48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прізвище, ім’я, по батькові кандидата;</w:t>
            </w:r>
          </w:p>
          <w:p w:rsidR="008F28DE" w:rsidRPr="00526F48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реквізити документа, що посвідчує особу та   підтверджує громадянство України;</w:t>
            </w:r>
          </w:p>
          <w:p w:rsidR="008F28DE" w:rsidRPr="00526F48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- підтвердження наявності відповідного ступеня вищої освіти;</w:t>
            </w:r>
          </w:p>
          <w:p w:rsidR="008F28DE" w:rsidRPr="00526F48" w:rsidRDefault="008F28DE" w:rsidP="008F28DE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8F28DE" w:rsidRPr="00526F48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:rsidR="008F28DE" w:rsidRPr="00526F48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3) копію документа, що підтверджує рівень освіти;</w:t>
            </w:r>
          </w:p>
          <w:p w:rsidR="008F28DE" w:rsidRPr="00526F48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4) копію Державного сертифікату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:rsidR="008F28DE" w:rsidRPr="00526F48" w:rsidRDefault="008F28DE" w:rsidP="008F28DE">
            <w:pPr>
              <w:widowControl w:val="0"/>
              <w:tabs>
                <w:tab w:val="left" w:pos="136"/>
                <w:tab w:val="left" w:pos="1440"/>
              </w:tabs>
              <w:spacing w:after="0" w:line="240" w:lineRule="auto"/>
              <w:ind w:left="136" w:right="137" w:firstLine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5) довідка за результатами перевірки, проведеної відповідно до вимог Закону України «Про очищення влади» (за наявності);</w:t>
            </w:r>
          </w:p>
          <w:p w:rsidR="008F28DE" w:rsidRPr="00526F48" w:rsidRDefault="008F28DE" w:rsidP="008F28DE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6) особова картка державного службовця за формою відповідно до наказу НАДС                        від 19.05.2020 № 77-20</w:t>
            </w:r>
            <w:bookmarkStart w:id="1" w:name="n23"/>
            <w:bookmarkEnd w:id="1"/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(за бажанням).</w:t>
            </w:r>
          </w:p>
          <w:p w:rsidR="008F28DE" w:rsidRPr="00526F48" w:rsidRDefault="008F28DE" w:rsidP="008F28DE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7) підтвердження подання декларації особи,     уповноваженої на виконання функцій держави або місцевого самоврядування</w:t>
            </w:r>
            <w:r w:rsidR="007D20CA" w:rsidRPr="00526F4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, за минулий рік.</w:t>
            </w:r>
          </w:p>
          <w:p w:rsidR="0076476D" w:rsidRPr="00526F48" w:rsidRDefault="0076476D" w:rsidP="008F28DE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8) </w:t>
            </w:r>
            <w:r w:rsidR="00C37A7A" w:rsidRPr="00526F48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витяг з інформаційно-аналітичної системи «Облік відомостей про притягнення особи до кримінальної відповідальності та наявності судимості».</w:t>
            </w:r>
          </w:p>
          <w:p w:rsidR="008F28DE" w:rsidRPr="00526F48" w:rsidRDefault="008F28DE" w:rsidP="008F28DE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F28DE" w:rsidRPr="00526F48" w:rsidRDefault="0011555B" w:rsidP="00EE6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E47C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Документи приймаються </w:t>
            </w:r>
            <w:r w:rsidRPr="00E47C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 </w:t>
            </w:r>
            <w:r w:rsidRPr="00E47C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18 год 00 хв </w:t>
            </w:r>
            <w:r w:rsidR="009914B3" w:rsidRPr="00E47C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08</w:t>
            </w:r>
            <w:r w:rsidRPr="00E47C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9914B3" w:rsidRPr="00E47C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квіт</w:t>
            </w:r>
            <w:r w:rsidRPr="00E47CB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ня 2025 року</w:t>
            </w:r>
            <w:r w:rsidRPr="00E47C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</w:t>
            </w:r>
            <w:r w:rsidRPr="00E47C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електронну адресу:</w:t>
            </w:r>
            <w:r w:rsidRPr="00E47C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47CB8">
              <w:rPr>
                <w:rFonts w:ascii="Times New Roman" w:hAnsi="Times New Roman"/>
                <w:sz w:val="24"/>
                <w:szCs w:val="24"/>
                <w:lang w:val="en-US"/>
              </w:rPr>
              <w:t>zhmerynka</w:t>
            </w:r>
            <w:proofErr w:type="spellEnd"/>
            <w:r w:rsidRPr="00E47CB8">
              <w:rPr>
                <w:rFonts w:ascii="Times New Roman" w:hAnsi="Times New Roman"/>
                <w:sz w:val="24"/>
                <w:szCs w:val="24"/>
              </w:rPr>
              <w:t>@</w:t>
            </w:r>
            <w:r w:rsidRPr="00E47CB8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E47C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7CB8">
              <w:rPr>
                <w:rFonts w:ascii="Times New Roman" w:hAnsi="Times New Roman"/>
                <w:sz w:val="24"/>
                <w:szCs w:val="24"/>
                <w:lang w:val="en-US"/>
              </w:rPr>
              <w:t>gp</w:t>
            </w:r>
            <w:proofErr w:type="spellEnd"/>
            <w:r w:rsidRPr="00E47CB8">
              <w:rPr>
                <w:rFonts w:ascii="Times New Roman" w:hAnsi="Times New Roman"/>
                <w:sz w:val="24"/>
                <w:szCs w:val="24"/>
              </w:rPr>
              <w:t>.</w:t>
            </w:r>
            <w:r w:rsidRPr="00E47CB8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E47C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7CB8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Pr="00E47C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</w:t>
            </w:r>
            <w:r w:rsidRPr="00E47CB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безпосередньо у </w:t>
            </w:r>
            <w:r w:rsidRPr="00E47C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Жмеринській </w:t>
            </w:r>
            <w:r w:rsidRPr="00E47CB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окружній прокуратурі </w:t>
            </w:r>
            <w:r w:rsidRPr="00E47C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 </w:t>
            </w:r>
            <w:proofErr w:type="spellStart"/>
            <w:r w:rsidRPr="00E47C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E47C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E47C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вул. Національна, 6а, м. Жмеринка</w:t>
            </w:r>
          </w:p>
        </w:tc>
      </w:tr>
      <w:tr w:rsidR="008F28DE" w:rsidRPr="00526F48" w:rsidTr="005D41AD">
        <w:tc>
          <w:tcPr>
            <w:tcW w:w="3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55B" w:rsidRPr="00555BDD" w:rsidRDefault="00555BDD" w:rsidP="0011555B">
            <w:pPr>
              <w:spacing w:after="0"/>
              <w:ind w:left="148" w:right="143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Британська Ольга Володимирівна</w:t>
            </w:r>
            <w:bookmarkStart w:id="2" w:name="_GoBack"/>
            <w:bookmarkEnd w:id="2"/>
          </w:p>
          <w:p w:rsidR="0011555B" w:rsidRPr="00526F48" w:rsidRDefault="0011555B" w:rsidP="0011555B">
            <w:pPr>
              <w:spacing w:after="0"/>
              <w:ind w:left="148" w:right="1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6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  <w:r w:rsidRPr="00526F48">
              <w:rPr>
                <w:rFonts w:ascii="Times New Roman" w:hAnsi="Times New Roman"/>
                <w:sz w:val="24"/>
                <w:szCs w:val="24"/>
              </w:rPr>
              <w:t>(04332) 5-15-27</w:t>
            </w:r>
          </w:p>
          <w:p w:rsidR="0011555B" w:rsidRPr="00526F48" w:rsidRDefault="0011555B" w:rsidP="0011555B">
            <w:pPr>
              <w:widowControl w:val="0"/>
              <w:autoSpaceDN w:val="0"/>
              <w:spacing w:after="60"/>
              <w:rPr>
                <w:sz w:val="24"/>
                <w:szCs w:val="24"/>
              </w:rPr>
            </w:pPr>
            <w:r w:rsidRPr="00526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ел. </w:t>
            </w:r>
            <w:proofErr w:type="spellStart"/>
            <w:proofErr w:type="gramStart"/>
            <w:r w:rsidRPr="00526F48">
              <w:rPr>
                <w:rFonts w:ascii="Times New Roman" w:hAnsi="Times New Roman"/>
                <w:sz w:val="24"/>
                <w:szCs w:val="24"/>
                <w:lang w:eastAsia="ru-RU"/>
              </w:rPr>
              <w:t>пошта</w:t>
            </w:r>
            <w:proofErr w:type="spellEnd"/>
            <w:r w:rsidRPr="00526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6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26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F48">
              <w:rPr>
                <w:rFonts w:ascii="Times New Roman" w:hAnsi="Times New Roman"/>
                <w:sz w:val="24"/>
                <w:szCs w:val="24"/>
                <w:lang w:val="en-US"/>
              </w:rPr>
              <w:t>zhmerynka</w:t>
            </w:r>
            <w:proofErr w:type="spellEnd"/>
            <w:r w:rsidRPr="00526F48">
              <w:rPr>
                <w:rFonts w:ascii="Times New Roman" w:hAnsi="Times New Roman"/>
                <w:sz w:val="24"/>
                <w:szCs w:val="24"/>
              </w:rPr>
              <w:t>@</w:t>
            </w:r>
            <w:r w:rsidRPr="00526F48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526F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26F48">
              <w:rPr>
                <w:rFonts w:ascii="Times New Roman" w:hAnsi="Times New Roman"/>
                <w:sz w:val="24"/>
                <w:szCs w:val="24"/>
                <w:lang w:val="en-US"/>
              </w:rPr>
              <w:t>gp</w:t>
            </w:r>
            <w:proofErr w:type="spellEnd"/>
            <w:r w:rsidRPr="00526F48">
              <w:rPr>
                <w:rFonts w:ascii="Times New Roman" w:hAnsi="Times New Roman"/>
                <w:sz w:val="24"/>
                <w:szCs w:val="24"/>
              </w:rPr>
              <w:t>.</w:t>
            </w:r>
            <w:r w:rsidRPr="00526F48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526F4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26F48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8F28DE" w:rsidRPr="00526F48" w:rsidRDefault="008F28DE" w:rsidP="008F28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8DE" w:rsidRPr="00526F48" w:rsidTr="005D41AD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Кваліфікаційні вимоги </w:t>
            </w:r>
          </w:p>
        </w:tc>
      </w:tr>
      <w:tr w:rsidR="008F28DE" w:rsidRPr="00526F48" w:rsidTr="005D41AD"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Освіта                   </w:t>
            </w:r>
          </w:p>
        </w:tc>
        <w:tc>
          <w:tcPr>
            <w:tcW w:w="6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146C0A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Вища освіта за освітньо-кваліфікаційним рівнем не нижче ступеня молодшого бакалавра або бакалавра</w:t>
            </w:r>
          </w:p>
        </w:tc>
      </w:tr>
      <w:tr w:rsidR="008F28DE" w:rsidRPr="00526F48" w:rsidTr="005D41AD"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Досвід роботи </w:t>
            </w:r>
          </w:p>
        </w:tc>
        <w:tc>
          <w:tcPr>
            <w:tcW w:w="6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Досвід роботи не потребується </w:t>
            </w:r>
          </w:p>
          <w:p w:rsidR="00146C0A" w:rsidRPr="00526F48" w:rsidRDefault="00146C0A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28DE" w:rsidRPr="00526F48" w:rsidTr="005D41AD">
        <w:trPr>
          <w:trHeight w:val="248"/>
        </w:trPr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6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Вільне володіння державною мовою</w:t>
            </w:r>
          </w:p>
        </w:tc>
      </w:tr>
      <w:tr w:rsidR="008F28DE" w:rsidRPr="00526F48" w:rsidTr="005D41AD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8F28DE" w:rsidRPr="00526F48" w:rsidTr="005D41AD">
        <w:trPr>
          <w:trHeight w:val="31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8F28DE" w:rsidRPr="00526F48" w:rsidTr="005D41AD">
        <w:trPr>
          <w:trHeight w:val="6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526F48" w:rsidRDefault="008F28DE" w:rsidP="008F2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Аналітичні здібності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DE" w:rsidRPr="00526F48" w:rsidRDefault="008F28DE" w:rsidP="008F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F28DE" w:rsidRPr="00526F48" w:rsidRDefault="008F28DE" w:rsidP="008F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вміння встановлювати причинно-наслідкові зв’язки;</w:t>
            </w:r>
          </w:p>
          <w:p w:rsidR="008F28DE" w:rsidRPr="00526F48" w:rsidRDefault="008F28DE" w:rsidP="008F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вміння аналізувати інформацію та робити висновки, критично оцінювати ситуації, прогнозувати та робити власні висновки</w:t>
            </w:r>
          </w:p>
        </w:tc>
      </w:tr>
      <w:tr w:rsidR="008F28DE" w:rsidRPr="00526F48" w:rsidTr="005D41AD">
        <w:trPr>
          <w:trHeight w:val="690"/>
        </w:trPr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526F48" w:rsidRDefault="008F28DE" w:rsidP="008F28D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526F48" w:rsidRDefault="008F28DE" w:rsidP="008F28DE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F28DE" w:rsidRPr="00526F48" w:rsidRDefault="008F28DE" w:rsidP="008F28DE">
            <w:pPr>
              <w:tabs>
                <w:tab w:val="left" w:pos="612"/>
              </w:tabs>
              <w:spacing w:after="0" w:line="240" w:lineRule="auto"/>
              <w:ind w:right="12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F28DE" w:rsidRPr="00526F48" w:rsidRDefault="008F28DE" w:rsidP="008F28DE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8F28DE" w:rsidRPr="00526F48" w:rsidTr="005D41AD">
        <w:trPr>
          <w:trHeight w:val="690"/>
        </w:trPr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526F48" w:rsidRDefault="008F28DE" w:rsidP="008F28D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526F48" w:rsidRDefault="008F28DE" w:rsidP="008F28DE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8F28DE" w:rsidRPr="00526F48" w:rsidRDefault="008F28DE" w:rsidP="008F28DE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здатність ефективно взаємодіяти – дослухатися, сприймати та викладати думку;</w:t>
            </w:r>
          </w:p>
          <w:p w:rsidR="008F28DE" w:rsidRPr="00526F48" w:rsidRDefault="008F28DE" w:rsidP="008F28DE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вміння публічно виступати перед аудиторією;</w:t>
            </w:r>
          </w:p>
          <w:p w:rsidR="008F28DE" w:rsidRPr="00526F48" w:rsidRDefault="008F28DE" w:rsidP="008F28DE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125" w:firstLine="1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8F28DE" w:rsidRPr="00526F48" w:rsidTr="005D41AD">
        <w:trPr>
          <w:trHeight w:val="690"/>
        </w:trPr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526F48" w:rsidRDefault="008F28DE" w:rsidP="008F28D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8DE" w:rsidRPr="00526F48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8F28DE" w:rsidRPr="00526F48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8F28DE" w:rsidRPr="00526F48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8F28DE" w:rsidRPr="00526F48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bookmarkStart w:id="3" w:name="_heading=h.30j0zll" w:colFirst="0" w:colLast="0"/>
            <w:bookmarkEnd w:id="3"/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8F28DE" w:rsidRPr="00526F48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8F28DE" w:rsidRPr="00526F48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526F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  <w:p w:rsidR="008F28DE" w:rsidRPr="00526F48" w:rsidRDefault="008F28DE" w:rsidP="008F28DE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</w:p>
        </w:tc>
      </w:tr>
      <w:tr w:rsidR="008F28DE" w:rsidRPr="00526F48" w:rsidTr="005D41AD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8F28DE" w:rsidRPr="00526F48" w:rsidTr="005D41AD">
        <w:trPr>
          <w:trHeight w:val="300"/>
        </w:trPr>
        <w:tc>
          <w:tcPr>
            <w:tcW w:w="3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6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8F28DE" w:rsidRPr="00526F48" w:rsidTr="005D41AD">
        <w:trPr>
          <w:trHeight w:val="690"/>
        </w:trPr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6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8F28DE" w:rsidRPr="00526F48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Закону України «Про державну службу»;</w:t>
            </w:r>
          </w:p>
          <w:p w:rsidR="008F28DE" w:rsidRPr="00526F48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8F28DE" w:rsidRPr="00526F48" w:rsidTr="005D41AD">
        <w:trPr>
          <w:trHeight w:val="75"/>
        </w:trPr>
        <w:tc>
          <w:tcPr>
            <w:tcW w:w="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Знання законодавства у сфері </w:t>
            </w:r>
          </w:p>
        </w:tc>
        <w:tc>
          <w:tcPr>
            <w:tcW w:w="6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28DE" w:rsidRPr="00526F48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Закону України «Про прокуратуру»;</w:t>
            </w:r>
          </w:p>
          <w:p w:rsidR="008F28DE" w:rsidRPr="00526F48" w:rsidRDefault="008F28DE" w:rsidP="008F28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 України «Про захист персональних даних»;</w:t>
            </w:r>
          </w:p>
          <w:p w:rsidR="008F28DE" w:rsidRPr="00526F48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 України «Про доступ до публічної інформації»;</w:t>
            </w:r>
          </w:p>
          <w:p w:rsidR="008F28DE" w:rsidRPr="00526F48" w:rsidRDefault="008F28DE" w:rsidP="008F28D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26F4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 України «Про інформацію».</w:t>
            </w:r>
          </w:p>
          <w:p w:rsidR="008F28DE" w:rsidRPr="00526F48" w:rsidRDefault="008F28DE" w:rsidP="008F28DE">
            <w:pPr>
              <w:spacing w:after="0" w:line="240" w:lineRule="auto"/>
              <w:ind w:left="43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F28DE" w:rsidRPr="00A81DA1" w:rsidRDefault="008F28DE" w:rsidP="008F28D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F28DE" w:rsidRPr="00A81DA1" w:rsidRDefault="008F28DE" w:rsidP="008F28D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E4CD6" w:rsidRPr="00A81DA1" w:rsidRDefault="005E4CD6">
      <w:pPr>
        <w:rPr>
          <w:rFonts w:ascii="Times New Roman" w:hAnsi="Times New Roman" w:cs="Times New Roman"/>
          <w:sz w:val="28"/>
          <w:szCs w:val="28"/>
        </w:rPr>
      </w:pPr>
    </w:p>
    <w:sectPr w:rsidR="005E4CD6" w:rsidRPr="00A81DA1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7575"/>
    <w:multiLevelType w:val="hybridMultilevel"/>
    <w:tmpl w:val="EF2C0476"/>
    <w:lvl w:ilvl="0" w:tplc="FD02C1C4">
      <w:start w:val="3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5D20525E"/>
    <w:multiLevelType w:val="hybridMultilevel"/>
    <w:tmpl w:val="768E87D8"/>
    <w:lvl w:ilvl="0" w:tplc="15F24C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43FFC"/>
    <w:multiLevelType w:val="hybridMultilevel"/>
    <w:tmpl w:val="92123E2C"/>
    <w:lvl w:ilvl="0" w:tplc="B5E0C986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F140B"/>
    <w:multiLevelType w:val="hybridMultilevel"/>
    <w:tmpl w:val="B2BED374"/>
    <w:lvl w:ilvl="0" w:tplc="B344BE6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76"/>
    <w:rsid w:val="00076D20"/>
    <w:rsid w:val="000B4637"/>
    <w:rsid w:val="000B6693"/>
    <w:rsid w:val="0011555B"/>
    <w:rsid w:val="00142016"/>
    <w:rsid w:val="00146C0A"/>
    <w:rsid w:val="00213AF2"/>
    <w:rsid w:val="00215468"/>
    <w:rsid w:val="0026184D"/>
    <w:rsid w:val="002904DA"/>
    <w:rsid w:val="002965FD"/>
    <w:rsid w:val="002A5894"/>
    <w:rsid w:val="002E4366"/>
    <w:rsid w:val="00345F1C"/>
    <w:rsid w:val="00390576"/>
    <w:rsid w:val="003E36A1"/>
    <w:rsid w:val="004B3005"/>
    <w:rsid w:val="00526F48"/>
    <w:rsid w:val="00555A02"/>
    <w:rsid w:val="00555BDD"/>
    <w:rsid w:val="005D41AD"/>
    <w:rsid w:val="005E4CD6"/>
    <w:rsid w:val="006652C9"/>
    <w:rsid w:val="0076476D"/>
    <w:rsid w:val="007968D2"/>
    <w:rsid w:val="007D20CA"/>
    <w:rsid w:val="0087498F"/>
    <w:rsid w:val="00891FE9"/>
    <w:rsid w:val="008B28AA"/>
    <w:rsid w:val="008F28DE"/>
    <w:rsid w:val="009914B3"/>
    <w:rsid w:val="00A27D62"/>
    <w:rsid w:val="00A37538"/>
    <w:rsid w:val="00A81DA1"/>
    <w:rsid w:val="00BA48E0"/>
    <w:rsid w:val="00C35795"/>
    <w:rsid w:val="00C37A7A"/>
    <w:rsid w:val="00CF4017"/>
    <w:rsid w:val="00D90709"/>
    <w:rsid w:val="00D91FD5"/>
    <w:rsid w:val="00DB2A04"/>
    <w:rsid w:val="00DE7DC6"/>
    <w:rsid w:val="00E31912"/>
    <w:rsid w:val="00E47CB8"/>
    <w:rsid w:val="00E6784A"/>
    <w:rsid w:val="00EA48F6"/>
    <w:rsid w:val="00EE682C"/>
    <w:rsid w:val="00F161C3"/>
    <w:rsid w:val="00F91712"/>
    <w:rsid w:val="00FC72FF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9884"/>
  <w15:chartTrackingRefBased/>
  <w15:docId w15:val="{B7C0C8A7-A126-4EBA-AA7E-556D6DF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5791</Words>
  <Characters>3301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2024-02-07T09:22:00Z</dcterms:created>
  <dcterms:modified xsi:type="dcterms:W3CDTF">2025-04-03T13:14:00Z</dcterms:modified>
</cp:coreProperties>
</file>