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6A8A5" w14:textId="77777777" w:rsidR="008F28DE" w:rsidRPr="008F28DE" w:rsidRDefault="008F28DE" w:rsidP="008F28D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71099B0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ОПИС ВАКАНТНОЇ ПОСАДИ</w:t>
      </w:r>
    </w:p>
    <w:p w14:paraId="22E49CF4" w14:textId="2D476310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державної служби категорії «В»</w:t>
      </w:r>
      <w:r w:rsidR="00C75CD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 головного  спеціаліста </w:t>
      </w:r>
    </w:p>
    <w:p w14:paraId="3765EFF8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Гайсинської окружної прокуратури</w:t>
      </w:r>
    </w:p>
    <w:p w14:paraId="5CB3C0D4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0"/>
        <w:gridCol w:w="2163"/>
        <w:gridCol w:w="7532"/>
      </w:tblGrid>
      <w:tr w:rsidR="00C75CD1" w:rsidRPr="008F28DE" w14:paraId="44AE82B5" w14:textId="77777777" w:rsidTr="004027E2">
        <w:trPr>
          <w:trHeight w:val="266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BA9A" w14:textId="38577DC9" w:rsidR="00C75CD1" w:rsidRPr="00C75CD1" w:rsidRDefault="00C75CD1" w:rsidP="00C7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75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Загальні умови</w:t>
            </w:r>
          </w:p>
        </w:tc>
      </w:tr>
      <w:tr w:rsidR="00240C69" w:rsidRPr="00733C59" w14:paraId="25415B63" w14:textId="77777777" w:rsidTr="00240C69">
        <w:trPr>
          <w:trHeight w:val="266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2EA5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bookmarkStart w:id="0" w:name="n766"/>
            <w:bookmarkEnd w:id="0"/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Посадові обов’язки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1A4309" w14:textId="52C67A56" w:rsidR="00062A29" w:rsidRDefault="00BC569A" w:rsidP="00062A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lang w:val="uk-UA" w:eastAsia="ru-RU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дотриманням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Тимчасової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інструкції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органах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DC530C6" w14:textId="402B852C" w:rsidR="00062A29" w:rsidRDefault="00BC569A" w:rsidP="00FD12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Здійснення комплексних заходів  щодо ведення діловодства  при реєстрації  звернень громадян та юридичних осіб, запитів на публічну інформацію</w:t>
            </w:r>
            <w:r w:rsidR="007247C8"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</w:t>
            </w:r>
            <w:r w:rsidR="00FD12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="00FD12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-      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 запису облікових даних  про документ  та оформлення  </w:t>
            </w:r>
            <w:proofErr w:type="spellStart"/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реєстраційно</w:t>
            </w:r>
            <w:proofErr w:type="spellEnd"/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-моніторингової  картки в  інформаційній системі "Система електронного документообігу";   </w:t>
            </w:r>
          </w:p>
          <w:p w14:paraId="6A62799E" w14:textId="77777777" w:rsidR="001725E2" w:rsidRDefault="00062A29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передача виконавцям;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</w:p>
          <w:p w14:paraId="5E7A5CD7" w14:textId="77777777" w:rsidR="001725E2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заведення наглядових проваджень;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  <w:p w14:paraId="54ABDC8A" w14:textId="77777777" w:rsidR="001725E2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здійснення  контролю за строками 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вирішення звернень</w:t>
            </w:r>
          </w:p>
          <w:p w14:paraId="67F57B84" w14:textId="77777777" w:rsidR="001725E2" w:rsidRDefault="001725E2" w:rsidP="00FD12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та запитів на 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публічну інформацію; </w:t>
            </w:r>
          </w:p>
          <w:p w14:paraId="72EB90A4" w14:textId="77777777" w:rsidR="00560DD7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направлення відповідей </w:t>
            </w:r>
            <w:r w:rsid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поштовим  зв’язком та засобами</w:t>
            </w:r>
          </w:p>
          <w:p w14:paraId="353F973C" w14:textId="4DEE003A" w:rsidR="00062A29" w:rsidRPr="00560DD7" w:rsidRDefault="00560DD7" w:rsidP="00FD12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електронного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зв’язку.</w:t>
            </w:r>
            <w:r w:rsidR="00BC569A" w:rsidRP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</w:t>
            </w:r>
          </w:p>
          <w:p w14:paraId="27471459" w14:textId="3E8B8A89" w:rsidR="00240C69" w:rsidRDefault="00BC569A" w:rsidP="00FD1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</w:t>
            </w:r>
            <w:r w:rsid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повідальність за скриньку для вхідної кореспонденції, загальну електронну поштову скриньку та спеціальну електронну поштову скриньку для отримання запитів на публічну інформацію.</w:t>
            </w:r>
          </w:p>
          <w:p w14:paraId="22A25351" w14:textId="0D94EF46" w:rsidR="007247C8" w:rsidRPr="007247C8" w:rsidRDefault="007247C8" w:rsidP="00FD12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реєстрації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вихідної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кореспонденції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внутрішніх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інформаційній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системі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"Система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документообігу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перевірка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правильності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вихідних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адресатам через Систему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поштовим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фельд'єгрським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зв'язку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щоденних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реєстрів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на</w:t>
            </w:r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відправлену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кореспонденцію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7B0B7092" w14:textId="77777777" w:rsidR="0041498D" w:rsidRDefault="0041498D" w:rsidP="0041498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товарно-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матеріальних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цінностей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знаходяться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окружній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прокуратурі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наступною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передачею до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Вінницької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Забазпечення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цінних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підготовка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щомісячного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табелю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робочого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часу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двічі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місяць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подавати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Своєчасна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подача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рахунків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Контроль за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своєчасним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заповненням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подорожніх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водіями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EA9930" w14:textId="77777777" w:rsidR="0041498D" w:rsidRPr="008056AC" w:rsidRDefault="0041498D" w:rsidP="008A33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056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щорічної перевірки наявності, використання та режиму збереження печаток та штампів окружної прокуратури та їх облік. </w:t>
            </w:r>
            <w:proofErr w:type="spellStart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>книзі</w:t>
            </w:r>
            <w:proofErr w:type="spellEnd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</w:p>
          <w:p w14:paraId="5B8FF148" w14:textId="77777777" w:rsidR="00FD128B" w:rsidRDefault="00FD128B" w:rsidP="00FD12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номенклатурних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органах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  до</w:t>
            </w:r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архівне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тривалого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вилучення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знищення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фонду.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надійшли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чинного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067E705" w14:textId="123C88FA" w:rsidR="004D038E" w:rsidRPr="007247C8" w:rsidRDefault="007247C8" w:rsidP="00FD12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1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додержання вимог  щодо документів з грифом "Для службового користування", що надходять та готуються в окружній прокуратурі:  реєстрація вхідних та забезпечення обліку вихідних і внутрішніх документів з грифом "Для службового користування"; формування виконаних документів у справи, надсилання вихідних документів  адресатам, забезпечення збереження документів  з грифом "Для службового користування".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41142EE" w14:textId="71AA10FB" w:rsidR="007247C8" w:rsidRPr="007247C8" w:rsidRDefault="007247C8" w:rsidP="00F141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0C69" w:rsidRPr="00733C59" w14:paraId="0EF463B5" w14:textId="77777777" w:rsidTr="00240C69">
        <w:trPr>
          <w:trHeight w:val="2057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9DE9" w14:textId="77777777" w:rsidR="00240C69" w:rsidRPr="008F28DE" w:rsidRDefault="00240C69" w:rsidP="0075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017A" w14:textId="77777777" w:rsidR="00733C59" w:rsidRPr="00733C59" w:rsidRDefault="00FD4C8E" w:rsidP="00733C5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3C59" w:rsidRPr="00733C59">
              <w:rPr>
                <w:rFonts w:ascii="Times New Roman" w:hAnsi="Times New Roman"/>
                <w:sz w:val="28"/>
                <w:szCs w:val="28"/>
                <w:lang w:val="uk-UA"/>
              </w:rPr>
              <w:t>посадовий оклад – 11997,00 грн;</w:t>
            </w:r>
          </w:p>
          <w:p w14:paraId="7160C38C" w14:textId="5647026D" w:rsidR="00733C59" w:rsidRPr="00733C59" w:rsidRDefault="00733C59" w:rsidP="00733C5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C59">
              <w:rPr>
                <w:rFonts w:ascii="Times New Roman" w:hAnsi="Times New Roman"/>
                <w:sz w:val="28"/>
                <w:szCs w:val="28"/>
                <w:lang w:val="uk-UA"/>
              </w:rPr>
              <w:t>надбавки, доплати, премії та компенсації відповідно до статей 50-52 Закону України «Про державну службу», Закону України «Про Державний бюджет України на 2026</w:t>
            </w:r>
            <w:r w:rsidRPr="00733C59">
              <w:rPr>
                <w:rFonts w:ascii="Times New Roman" w:hAnsi="Times New Roman"/>
                <w:sz w:val="28"/>
                <w:szCs w:val="28"/>
              </w:rPr>
              <w:t> </w:t>
            </w:r>
            <w:r w:rsidRPr="00733C59">
              <w:rPr>
                <w:rFonts w:ascii="Times New Roman" w:hAnsi="Times New Roman"/>
                <w:sz w:val="28"/>
                <w:szCs w:val="28"/>
                <w:lang w:val="uk-UA"/>
              </w:rPr>
              <w:t>рік», постанов Кабінету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33C59">
              <w:rPr>
                <w:rFonts w:ascii="Times New Roman" w:hAnsi="Times New Roman"/>
                <w:sz w:val="28"/>
                <w:szCs w:val="28"/>
                <w:lang w:val="uk-UA"/>
              </w:rPr>
              <w:t>Міністрів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33C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України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18 січня 2017 року </w:t>
            </w:r>
            <w:r w:rsidRPr="00733C59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№15 «Питання оплати праці працівників державних органів» (зі змінами), від 29 грудня 2023 року №1409 «Питання оплати праці державних службовців на основі класифікації посад у 2026 році».</w:t>
            </w:r>
          </w:p>
          <w:p w14:paraId="7BF55CC1" w14:textId="62B7D137" w:rsidR="00240C69" w:rsidRPr="008F28DE" w:rsidRDefault="00240C69" w:rsidP="00FD4C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0C69" w:rsidRPr="008F28DE" w14:paraId="41D6A503" w14:textId="77777777" w:rsidTr="00240C69">
        <w:trPr>
          <w:trHeight w:val="538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D984" w14:textId="77777777" w:rsidR="00240C69" w:rsidRPr="008F28DE" w:rsidRDefault="00240C69" w:rsidP="0075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  <w:p w14:paraId="6C2270B8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4B45E6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3031" w14:textId="07262FB3" w:rsidR="00240C69" w:rsidRPr="008F28DE" w:rsidRDefault="00581CC4" w:rsidP="0067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Строково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період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дії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воєнного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стану,</w:t>
            </w:r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цю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посаду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переможця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спливу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70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0B7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2-</w:t>
            </w:r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місячного строку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воєнного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стану.</w:t>
            </w:r>
          </w:p>
        </w:tc>
      </w:tr>
      <w:tr w:rsidR="00240C69" w:rsidRPr="008F28DE" w14:paraId="356AD6F3" w14:textId="77777777" w:rsidTr="00240C69">
        <w:trPr>
          <w:trHeight w:val="1842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4AD1" w14:textId="77777777" w:rsidR="00240C69" w:rsidRPr="008F28DE" w:rsidRDefault="00240C69" w:rsidP="0075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Перелік документів, які очікуються від кандидата на посаду державної служби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 період дії воєнного стану, в тому числі спосіб подання, адреса та строк їх подання</w:t>
            </w:r>
          </w:p>
          <w:p w14:paraId="2E940EE4" w14:textId="77777777" w:rsidR="00240C69" w:rsidRPr="008F28DE" w:rsidRDefault="00240C69" w:rsidP="0075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10C07F0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45994420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23D75379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6AA11B7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5765B45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78982BF9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DBDB5C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D7AFB1E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42006532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24371674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35DB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1) резюме (за формою відповідно до постанови КМУ від 25.03.2016 № 246), в якому обов’язково зазначається така інформація:</w:t>
            </w:r>
          </w:p>
          <w:p w14:paraId="75D00AF7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прізвище, ім’я, по батькові кандидата;</w:t>
            </w:r>
          </w:p>
          <w:p w14:paraId="4941A209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реквізити документа, що посвідчує особу та   підтверджує громадянство України;</w:t>
            </w:r>
          </w:p>
          <w:p w14:paraId="75F21A4B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підтвердження наявності відповідного ступеня вищої освіти;</w:t>
            </w:r>
          </w:p>
          <w:p w14:paraId="63E7A615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8DB50C4" w14:textId="77777777" w:rsidR="00240C69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2) копію документа, що посвідчує особу та підтверджує громадянство України;</w:t>
            </w:r>
          </w:p>
          <w:p w14:paraId="47A1DA3B" w14:textId="64021BEF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3) копія облікової картки платника  податків (окрім фізичних осіб, які через свої релігійні переконання  відмовляються від прийняття  реєстраційного  номера  облікової картки платника податків та повідомили  про це  відповідний  контролюючий орган і мають відмітку у паспорті); </w:t>
            </w:r>
          </w:p>
          <w:p w14:paraId="20B64094" w14:textId="70CB1C37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копію документа, що підтверджує рівень освіти;</w:t>
            </w:r>
          </w:p>
          <w:p w14:paraId="0AD82B49" w14:textId="7FA024C4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 копію Державного сертифікату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(за наявності). </w:t>
            </w:r>
          </w:p>
          <w:p w14:paraId="220147DE" w14:textId="57799830" w:rsidR="00240C69" w:rsidRPr="008F28DE" w:rsidRDefault="00240C69" w:rsidP="00240C69">
            <w:pPr>
              <w:widowControl w:val="0"/>
              <w:tabs>
                <w:tab w:val="left" w:pos="136"/>
                <w:tab w:val="left" w:pos="1440"/>
              </w:tabs>
              <w:spacing w:after="0" w:line="240" w:lineRule="auto"/>
              <w:ind w:left="136" w:right="137" w:firstLine="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6)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довідка за результатами перевірки, проведеної відповідно до вимог Закону України «Про очищення влади» (за наявності);</w:t>
            </w:r>
          </w:p>
          <w:p w14:paraId="262ED9E7" w14:textId="4901F1D3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особова картка державного службовця за формою відповідно до наказу НАДС від 19.05.2020 № 77-20</w:t>
            </w:r>
            <w:bookmarkStart w:id="1" w:name="n23"/>
            <w:bookmarkEnd w:id="1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бажанням).</w:t>
            </w:r>
          </w:p>
          <w:p w14:paraId="6E6A4CFB" w14:textId="23BB8DC2" w:rsidR="00240C69" w:rsidRDefault="00240C69" w:rsidP="00240C69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 підтвердження подання декларації особи,     уповноваженої на виконання функцій держави або місцевого самоврядування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за минулий рік.</w:t>
            </w:r>
          </w:p>
          <w:p w14:paraId="5B8748F1" w14:textId="77777777" w:rsidR="00240C69" w:rsidRPr="008F28DE" w:rsidRDefault="00240C69" w:rsidP="00240C69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0061BF1" w14:textId="583D0EAC" w:rsidR="00240C69" w:rsidRPr="008F28DE" w:rsidRDefault="00240C69" w:rsidP="00733C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Документи приймаються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 </w:t>
            </w: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18 год 00 хв  </w:t>
            </w:r>
            <w:r w:rsidR="00733C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18 березня 2026 рок</w:t>
            </w:r>
            <w:r w:rsidRPr="00076D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076D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електронну адресу: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haisyn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vin</w:t>
            </w: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gp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ua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або </w:t>
            </w:r>
            <w:r w:rsidRPr="008F28D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безпосередньо у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Гайсинській </w:t>
            </w:r>
            <w:r w:rsidRPr="008F28D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окружній прокуратурі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вул. Волонтерів, 15а, м. Гайсин</w:t>
            </w:r>
          </w:p>
        </w:tc>
      </w:tr>
      <w:tr w:rsidR="00240C69" w:rsidRPr="008F28DE" w14:paraId="7726D1E7" w14:textId="77777777" w:rsidTr="00240C69"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FF6B" w14:textId="77777777" w:rsidR="00240C69" w:rsidRPr="008F28DE" w:rsidRDefault="00240C69" w:rsidP="0075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Прізвище, ім’я та по батькові, номер телефону та адреса електронної пошти особи, яка </w:t>
            </w:r>
            <w:bookmarkStart w:id="2" w:name="_GoBack"/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надає додаткову інформацію з питань призначення </w:t>
            </w:r>
            <w:bookmarkEnd w:id="2"/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посаду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8F3A" w14:textId="5AE71D7B" w:rsidR="00240C69" w:rsidRPr="008F28DE" w:rsidRDefault="00261161" w:rsidP="00240C69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Синявська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Леся Петрівна </w:t>
            </w:r>
          </w:p>
          <w:p w14:paraId="335FAB15" w14:textId="729AD030" w:rsidR="006F41F5" w:rsidRDefault="00240C69" w:rsidP="006F41F5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+38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2611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2611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508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="002611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="002611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9AC6EE3" w14:textId="10A2AF21" w:rsidR="00240C69" w:rsidRPr="008F28DE" w:rsidRDefault="006F41F5" w:rsidP="006F41F5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пошта</w:t>
            </w:r>
            <w:r w:rsidR="00240C69"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haisyn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vin</w:t>
            </w:r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gp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ua</w:t>
            </w:r>
            <w:proofErr w:type="spellEnd"/>
          </w:p>
        </w:tc>
      </w:tr>
      <w:tr w:rsidR="00240C69" w:rsidRPr="008F28DE" w14:paraId="317397C4" w14:textId="77777777" w:rsidTr="00201BE2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8A26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Кваліфікаційні вимоги </w:t>
            </w:r>
          </w:p>
        </w:tc>
      </w:tr>
      <w:tr w:rsidR="00240C69" w:rsidRPr="008F28DE" w14:paraId="7A4CCDA8" w14:textId="77777777" w:rsidTr="00240C69"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0A61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EC5B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Освіта                  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0C9D" w14:textId="77777777" w:rsidR="00240C69" w:rsidRPr="008F28DE" w:rsidRDefault="00240C69" w:rsidP="00240C69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за освітньо-кваліфікаційним рівнем не нижче ступеня молодшого бакалавра або бакалавра</w:t>
            </w:r>
          </w:p>
        </w:tc>
      </w:tr>
      <w:tr w:rsidR="00240C69" w:rsidRPr="008F28DE" w14:paraId="7FB4E5B7" w14:textId="77777777" w:rsidTr="00240C69"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921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2E068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Досвід роботи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D936" w14:textId="77777777" w:rsidR="00240C69" w:rsidRDefault="00240C69" w:rsidP="00240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Досвід роботи не потребується </w:t>
            </w:r>
          </w:p>
          <w:p w14:paraId="0E44C7E2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0C69" w:rsidRPr="008F28DE" w14:paraId="0CE2928C" w14:textId="77777777" w:rsidTr="00240C69">
        <w:trPr>
          <w:trHeight w:val="248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9BA9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77BD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633A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240C69" w:rsidRPr="008F28DE" w14:paraId="487F456A" w14:textId="77777777" w:rsidTr="00201BE2">
        <w:trPr>
          <w:trHeight w:val="331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1CBCAE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компетентності</w:t>
            </w:r>
          </w:p>
        </w:tc>
      </w:tr>
      <w:tr w:rsidR="00240C69" w:rsidRPr="008F28DE" w14:paraId="6722324F" w14:textId="77777777" w:rsidTr="00240C69">
        <w:trPr>
          <w:trHeight w:val="310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40E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10B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240C69" w:rsidRPr="008F28DE" w14:paraId="5D199256" w14:textId="77777777" w:rsidTr="00240C69">
        <w:trPr>
          <w:trHeight w:val="69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D3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19B" w14:textId="77777777" w:rsidR="00240C69" w:rsidRPr="008F28DE" w:rsidRDefault="00240C69" w:rsidP="0024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Аналітичні здібності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3FF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0B9552CA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вміння встановлювати причинно-наслідкові зв’язки;</w:t>
            </w:r>
          </w:p>
          <w:p w14:paraId="7A95BA50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вміння аналізувати інформацію та робити висновки, критично оцінювати ситуації, прогнозувати та робити власні висновки</w:t>
            </w:r>
          </w:p>
        </w:tc>
      </w:tr>
      <w:tr w:rsidR="00240C69" w:rsidRPr="008F28DE" w14:paraId="5C600C38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D01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2C8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03D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65191F57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0FD43E20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40C69" w:rsidRPr="008F28DE" w14:paraId="24811A70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9BD4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BE6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85F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42B5DB0E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здатність ефективно взаємодіяти – дослухатися, сприймати та викладати думку;</w:t>
            </w:r>
          </w:p>
          <w:p w14:paraId="55A17A0E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612"/>
              </w:tabs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вміння публічно виступати перед аудиторією;</w:t>
            </w:r>
          </w:p>
          <w:p w14:paraId="2ED4605A" w14:textId="6DFA8C0F" w:rsidR="00240C69" w:rsidRPr="009E4BA3" w:rsidRDefault="00240C69" w:rsidP="00240C69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9E4BA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здатність переконувати інших за допомогою аргументів та послідовної комунікації.</w:t>
            </w:r>
          </w:p>
        </w:tc>
      </w:tr>
      <w:tr w:rsidR="00240C69" w:rsidRPr="008F28DE" w14:paraId="4ED09C7C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07F1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671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83E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22C7782D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14:paraId="595A0BEC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lastRenderedPageBreak/>
              <w:t xml:space="preserve"> 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6E8831B3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bookmarkStart w:id="3" w:name="_heading=h.30j0zll" w:colFirst="0" w:colLast="0"/>
            <w:bookmarkEnd w:id="3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79E79F7A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5DE0A79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- здатність використовувати відкриті цифрові ресурси для власного професійного розвитку</w:t>
            </w:r>
          </w:p>
          <w:p w14:paraId="7244A73C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  <w:tr w:rsidR="00240C69" w:rsidRPr="008F28DE" w14:paraId="6B7F2A21" w14:textId="77777777" w:rsidTr="00201BE2">
        <w:trPr>
          <w:trHeight w:val="140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2C45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Професійні знання</w:t>
            </w:r>
          </w:p>
        </w:tc>
      </w:tr>
      <w:tr w:rsidR="00240C69" w:rsidRPr="008F28DE" w14:paraId="33F1A480" w14:textId="77777777" w:rsidTr="00240C69">
        <w:trPr>
          <w:trHeight w:val="300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36BE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Вимога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C927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240C69" w:rsidRPr="008F28DE" w14:paraId="0E24215E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9957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8C73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Знання законодавства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FC8E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Конституції України;</w:t>
            </w:r>
          </w:p>
          <w:p w14:paraId="755CB930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державну службу»;</w:t>
            </w:r>
          </w:p>
          <w:p w14:paraId="01394BF8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запобігання корупції» та іншого законодавства</w:t>
            </w:r>
          </w:p>
        </w:tc>
      </w:tr>
      <w:tr w:rsidR="00240C69" w:rsidRPr="008F28DE" w14:paraId="3E4DC480" w14:textId="77777777" w:rsidTr="00240C69">
        <w:trPr>
          <w:trHeight w:val="75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D670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4A02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Знання законодавства у сфері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2395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прокуратуру»;</w:t>
            </w:r>
          </w:p>
          <w:p w14:paraId="05FCB5B1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 України «Про захист персональних даних»;</w:t>
            </w:r>
          </w:p>
          <w:p w14:paraId="4AD3015F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 України «Про доступ до публічної інформації»;</w:t>
            </w:r>
          </w:p>
          <w:p w14:paraId="1BE86A96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 України «Про інформацію».</w:t>
            </w:r>
          </w:p>
        </w:tc>
      </w:tr>
    </w:tbl>
    <w:p w14:paraId="48782B55" w14:textId="77777777" w:rsidR="005E4CD6" w:rsidRDefault="005E4CD6" w:rsidP="00612A80"/>
    <w:sectPr w:rsidR="005E4CD6" w:rsidSect="00542F83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AF5"/>
    <w:multiLevelType w:val="hybridMultilevel"/>
    <w:tmpl w:val="08364CA8"/>
    <w:lvl w:ilvl="0" w:tplc="47667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7608"/>
    <w:multiLevelType w:val="hybridMultilevel"/>
    <w:tmpl w:val="C13A814A"/>
    <w:lvl w:ilvl="0" w:tplc="EFEA9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7575"/>
    <w:multiLevelType w:val="hybridMultilevel"/>
    <w:tmpl w:val="EF2C0476"/>
    <w:lvl w:ilvl="0" w:tplc="FD02C1C4">
      <w:start w:val="3"/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54766BDB"/>
    <w:multiLevelType w:val="hybridMultilevel"/>
    <w:tmpl w:val="E1AE8CE0"/>
    <w:lvl w:ilvl="0" w:tplc="8C6C6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3FFC"/>
    <w:multiLevelType w:val="hybridMultilevel"/>
    <w:tmpl w:val="92123E2C"/>
    <w:lvl w:ilvl="0" w:tplc="B5E0C986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140B"/>
    <w:multiLevelType w:val="hybridMultilevel"/>
    <w:tmpl w:val="B2BED374"/>
    <w:lvl w:ilvl="0" w:tplc="B344BE6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76"/>
    <w:rsid w:val="00062A29"/>
    <w:rsid w:val="00073275"/>
    <w:rsid w:val="00076D20"/>
    <w:rsid w:val="00083E7A"/>
    <w:rsid w:val="00097859"/>
    <w:rsid w:val="000B6693"/>
    <w:rsid w:val="000E0BD3"/>
    <w:rsid w:val="0013052B"/>
    <w:rsid w:val="00146C0A"/>
    <w:rsid w:val="001725E2"/>
    <w:rsid w:val="00233D66"/>
    <w:rsid w:val="00240C69"/>
    <w:rsid w:val="00261161"/>
    <w:rsid w:val="002825F0"/>
    <w:rsid w:val="00297591"/>
    <w:rsid w:val="002B1593"/>
    <w:rsid w:val="003369C6"/>
    <w:rsid w:val="00345F1C"/>
    <w:rsid w:val="00377554"/>
    <w:rsid w:val="00390576"/>
    <w:rsid w:val="003E36A1"/>
    <w:rsid w:val="00402ED1"/>
    <w:rsid w:val="0041498D"/>
    <w:rsid w:val="004710EB"/>
    <w:rsid w:val="004B3005"/>
    <w:rsid w:val="004D038E"/>
    <w:rsid w:val="0051606E"/>
    <w:rsid w:val="00521217"/>
    <w:rsid w:val="00560DD7"/>
    <w:rsid w:val="00581CC4"/>
    <w:rsid w:val="005A653E"/>
    <w:rsid w:val="005E4CD6"/>
    <w:rsid w:val="00612A80"/>
    <w:rsid w:val="00626608"/>
    <w:rsid w:val="00670B24"/>
    <w:rsid w:val="006C5212"/>
    <w:rsid w:val="006F41F5"/>
    <w:rsid w:val="007247C8"/>
    <w:rsid w:val="00733C59"/>
    <w:rsid w:val="00747547"/>
    <w:rsid w:val="00755915"/>
    <w:rsid w:val="0076476D"/>
    <w:rsid w:val="007978AE"/>
    <w:rsid w:val="0087498F"/>
    <w:rsid w:val="008A3337"/>
    <w:rsid w:val="008B5217"/>
    <w:rsid w:val="008F28DE"/>
    <w:rsid w:val="009B409E"/>
    <w:rsid w:val="009E4BA3"/>
    <w:rsid w:val="00A36351"/>
    <w:rsid w:val="00A45053"/>
    <w:rsid w:val="00AC4720"/>
    <w:rsid w:val="00B9149A"/>
    <w:rsid w:val="00BA1F83"/>
    <w:rsid w:val="00BC569A"/>
    <w:rsid w:val="00C37A7A"/>
    <w:rsid w:val="00C75CD1"/>
    <w:rsid w:val="00D76D1E"/>
    <w:rsid w:val="00D90709"/>
    <w:rsid w:val="00E30F62"/>
    <w:rsid w:val="00E31912"/>
    <w:rsid w:val="00E6784A"/>
    <w:rsid w:val="00F141EA"/>
    <w:rsid w:val="00FD07FD"/>
    <w:rsid w:val="00FD128B"/>
    <w:rsid w:val="00FD4C8E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4346"/>
  <w15:chartTrackingRefBased/>
  <w15:docId w15:val="{B7C0C8A7-A126-4EBA-AA7E-556D6DFE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3E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E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4BA3"/>
    <w:pPr>
      <w:ind w:left="720"/>
      <w:contextualSpacing/>
    </w:pPr>
  </w:style>
  <w:style w:type="paragraph" w:styleId="a7">
    <w:name w:val="No Spacing"/>
    <w:uiPriority w:val="1"/>
    <w:qFormat/>
    <w:rsid w:val="00724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85C8-C9C2-4E3A-9B11-A93AE61E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cp:lastPrinted>2026-03-03T07:45:00Z</cp:lastPrinted>
  <dcterms:created xsi:type="dcterms:W3CDTF">2024-02-07T09:22:00Z</dcterms:created>
  <dcterms:modified xsi:type="dcterms:W3CDTF">2026-03-03T07:46:00Z</dcterms:modified>
</cp:coreProperties>
</file>