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99" w:rsidRPr="00004228" w:rsidRDefault="00644099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644099" w:rsidRPr="00004228" w:rsidRDefault="00644099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644099" w:rsidRPr="00004228" w:rsidRDefault="00644099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644099" w:rsidRPr="00004228" w:rsidRDefault="00644099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наказом </w:t>
      </w:r>
      <w:r>
        <w:rPr>
          <w:rFonts w:ascii="Times New Roman" w:hAnsi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/>
          <w:sz w:val="26"/>
          <w:szCs w:val="26"/>
        </w:rPr>
        <w:t>облас</w:t>
      </w:r>
      <w:r>
        <w:rPr>
          <w:rFonts w:ascii="Times New Roman" w:hAnsi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/>
          <w:sz w:val="26"/>
          <w:szCs w:val="26"/>
        </w:rPr>
        <w:t xml:space="preserve"> </w:t>
      </w:r>
    </w:p>
    <w:p w:rsidR="00644099" w:rsidRPr="00004228" w:rsidRDefault="00644099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від </w:t>
      </w:r>
      <w:r>
        <w:rPr>
          <w:rFonts w:ascii="Times New Roman" w:hAnsi="Times New Roman"/>
          <w:sz w:val="26"/>
          <w:szCs w:val="26"/>
        </w:rPr>
        <w:t>03</w:t>
      </w:r>
      <w:r w:rsidRPr="0000422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004228">
        <w:rPr>
          <w:rFonts w:ascii="Times New Roman" w:hAnsi="Times New Roman"/>
          <w:sz w:val="26"/>
          <w:szCs w:val="26"/>
        </w:rPr>
        <w:t xml:space="preserve">.2020  № </w:t>
      </w:r>
      <w:r>
        <w:rPr>
          <w:rFonts w:ascii="Times New Roman" w:hAnsi="Times New Roman"/>
          <w:sz w:val="26"/>
          <w:szCs w:val="26"/>
        </w:rPr>
        <w:t>391</w:t>
      </w:r>
      <w:r w:rsidRPr="00403152">
        <w:rPr>
          <w:rFonts w:ascii="Times New Roman" w:hAnsi="Times New Roman"/>
          <w:sz w:val="26"/>
          <w:szCs w:val="26"/>
        </w:rPr>
        <w:t>к</w:t>
      </w:r>
    </w:p>
    <w:p w:rsidR="00644099" w:rsidRPr="00962A45" w:rsidRDefault="00644099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644099" w:rsidRPr="00962A45" w:rsidRDefault="00644099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644099" w:rsidRPr="002C13E2" w:rsidTr="00FA15B8">
        <w:trPr>
          <w:trHeight w:val="1460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Default="00644099" w:rsidP="004A6B6A">
            <w:pPr>
              <w:spacing w:before="150" w:after="150" w:line="240" w:lineRule="auto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 xml:space="preserve"> спеціаліст відділу організації прийому громадян, розгляду звернень та запитів Вінницької обласної прокуратури </w:t>
            </w:r>
          </w:p>
          <w:p w:rsidR="00644099" w:rsidRPr="00A351B3" w:rsidRDefault="00644099" w:rsidP="004A6B6A">
            <w:pPr>
              <w:spacing w:before="150" w:after="150" w:line="240" w:lineRule="auto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категорія посади – «В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44099" w:rsidRPr="002C13E2" w:rsidTr="005C01CD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7320B5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Вивчення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зміст</w:t>
            </w:r>
            <w:r>
              <w:rPr>
                <w:rFonts w:ascii="Times New Roman" w:hAnsi="Times New Roman"/>
                <w:sz w:val="26"/>
                <w:szCs w:val="26"/>
              </w:rPr>
              <w:t>у звернень, здійснення їх попереднього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розгляд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64E86">
              <w:rPr>
                <w:rFonts w:ascii="Times New Roman" w:hAnsi="Times New Roman"/>
                <w:sz w:val="26"/>
                <w:szCs w:val="26"/>
              </w:rPr>
              <w:t>в установленому порядку передання на доповідь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керівництву обласної прокуратури.</w:t>
            </w:r>
          </w:p>
          <w:p w:rsidR="00644099" w:rsidRPr="007320B5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Розгляд з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>а доруче</w:t>
            </w:r>
            <w:r>
              <w:rPr>
                <w:rFonts w:ascii="Times New Roman" w:hAnsi="Times New Roman"/>
                <w:sz w:val="26"/>
                <w:szCs w:val="26"/>
              </w:rPr>
              <w:t>нням начальника відділу звернень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фізичних та юридичних осіб, </w:t>
            </w:r>
            <w:r>
              <w:rPr>
                <w:rFonts w:ascii="Times New Roman" w:hAnsi="Times New Roman"/>
                <w:sz w:val="26"/>
                <w:szCs w:val="26"/>
              </w:rPr>
              <w:t>підготовка проектів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відповідей з відповідними роз’ясненнями та листів про надіслання їх до місцевих (окружних) прокуратур, до відповідних органів чи посадовим особам.</w:t>
            </w:r>
          </w:p>
          <w:p w:rsidR="00644099" w:rsidRPr="007320B5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color w:val="212527"/>
                <w:sz w:val="26"/>
                <w:szCs w:val="26"/>
              </w:rPr>
            </w:pP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Забезпечення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здійснення особистого прийому громадян  керівниками та працівниками структурних підрозділів обл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асної прокуратури, безпосереднє здійснення особистого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прийом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у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громадян.</w:t>
            </w:r>
          </w:p>
          <w:p w:rsidR="00644099" w:rsidRPr="007320B5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>риймання звернень, що надійшли на телефон «гарячої лінії», їх облік та передання для реєстрації в у</w:t>
            </w:r>
            <w:r>
              <w:rPr>
                <w:rFonts w:ascii="Times New Roman" w:hAnsi="Times New Roman"/>
                <w:sz w:val="26"/>
                <w:szCs w:val="26"/>
              </w:rPr>
              <w:t>становленому порядку, забезпечення їх попереднього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розгляд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4099" w:rsidRPr="007320B5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0B5">
              <w:rPr>
                <w:rFonts w:ascii="Times New Roman" w:hAnsi="Times New Roman"/>
                <w:sz w:val="26"/>
                <w:szCs w:val="26"/>
              </w:rPr>
              <w:t>Веде</w:t>
            </w:r>
            <w:r>
              <w:rPr>
                <w:rFonts w:ascii="Times New Roman" w:hAnsi="Times New Roman"/>
                <w:sz w:val="26"/>
                <w:szCs w:val="26"/>
              </w:rPr>
              <w:t>ння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облік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надходження депутатських документів, їх руху </w:t>
            </w:r>
            <w:r>
              <w:rPr>
                <w:rFonts w:ascii="Times New Roman" w:hAnsi="Times New Roman"/>
                <w:sz w:val="26"/>
                <w:szCs w:val="26"/>
              </w:rPr>
              <w:t>та результатів розгляду, створення відповідної електронної бази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даних.</w:t>
            </w:r>
          </w:p>
          <w:p w:rsidR="00644099" w:rsidRPr="007320B5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>Вивчення проблемних питань</w:t>
            </w:r>
            <w:r w:rsidRPr="007320B5"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 xml:space="preserve"> в організації роботи з розгляду звернень та запитів у межах компетентності відділу, </w:t>
            </w:r>
            <w:r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>підготовка пропозицій</w:t>
            </w:r>
            <w:r w:rsidRPr="007320B5"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 xml:space="preserve"> щодо шл</w:t>
            </w:r>
            <w:r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>яхів їх вирішення, ініціювання</w:t>
            </w:r>
            <w:r w:rsidRPr="007320B5"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 xml:space="preserve"> вжиття заходів щодо усунення виявлених недоліків.</w:t>
            </w:r>
          </w:p>
          <w:p w:rsidR="00644099" w:rsidRPr="007320B5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Підготовка проектів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службових листів, у тому числі інформаційного та орієнтовного характеру, листів із зауваженнями, наказів та інших організаційно-розпорядчих документів з питань, що належать до компетенції відділу.</w:t>
            </w:r>
          </w:p>
          <w:p w:rsidR="00644099" w:rsidRPr="007320B5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color w:val="212527"/>
                <w:sz w:val="26"/>
                <w:szCs w:val="26"/>
              </w:rPr>
            </w:pPr>
            <w:r w:rsidRPr="000739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Участь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739F4">
              <w:rPr>
                <w:rFonts w:ascii="Times New Roman" w:hAnsi="Times New Roman"/>
                <w:sz w:val="26"/>
                <w:szCs w:val="26"/>
              </w:rPr>
              <w:t>а дорученням керівництва у проведенні перевірок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у структурних підрозділах обласної прокуратури, місцевих (окружних) прокуратурах, наданні практичної допомоги їх керівникам, контролює усунення встановлених недоліків.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Здійснення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прийом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у запитувачів інформації, надання консультації та допомоги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під час оформлення запитів, 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підготовка проектів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відповідей запитувачам інфор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мації, здійснення загального контролю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за своєчасністю оприлюднення інформації та виконанням доручень керівництва обласної прокуратури про надання інформації на запити.</w:t>
            </w:r>
          </w:p>
          <w:p w:rsidR="00644099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color w:val="212527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CD0A04">
              <w:rPr>
                <w:rFonts w:ascii="Times New Roman" w:hAnsi="Times New Roman"/>
                <w:sz w:val="26"/>
                <w:szCs w:val="26"/>
              </w:rPr>
              <w:t>часть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у підготовці та проведенні навчально-методичних заходів, аналітичної роботи, розробленні методичних рекомендацій і стажуванні працівників місцевих (окружних) прокуратур, веде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ння обліку 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>виконаної роботи.</w:t>
            </w:r>
          </w:p>
          <w:p w:rsidR="00644099" w:rsidRPr="00CD0A04" w:rsidRDefault="00644099" w:rsidP="004A6B6A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інших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доручення начальника відділу та керівництва обласної прокуратури.</w:t>
            </w:r>
          </w:p>
        </w:tc>
      </w:tr>
      <w:tr w:rsidR="00644099" w:rsidRPr="002C13E2" w:rsidTr="00FA15B8">
        <w:trPr>
          <w:trHeight w:val="4644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644099" w:rsidRPr="00962A45" w:rsidRDefault="00644099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644099" w:rsidRPr="002C13E2" w:rsidTr="005C01CD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644099" w:rsidRPr="002C13E2" w:rsidTr="005C01CD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Особа, яка бажає взяти участь у доборі з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644099" w:rsidRPr="00962A45" w:rsidRDefault="00644099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  <w:r w:rsidRPr="005C01CD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06 листопада</w:t>
            </w:r>
            <w:r w:rsidRPr="005C01CD">
              <w:rPr>
                <w:rFonts w:ascii="Times New Roman" w:hAnsi="Times New Roman"/>
                <w:b/>
                <w:sz w:val="26"/>
                <w:szCs w:val="26"/>
              </w:rPr>
              <w:t xml:space="preserve">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644099" w:rsidRPr="00F60230" w:rsidRDefault="00644099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644099" w:rsidRPr="00962A45" w:rsidRDefault="00644099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644099" w:rsidRPr="002C13E2" w:rsidTr="005C01CD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</w:t>
            </w:r>
            <w:bookmarkStart w:id="1" w:name="_GoBack"/>
            <w:bookmarkEnd w:id="1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тань проведення добору на вакантну посаду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644099" w:rsidRPr="00962A45" w:rsidRDefault="00644099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44099" w:rsidRPr="002C13E2" w:rsidTr="005C01CD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644099" w:rsidRPr="002C13E2" w:rsidTr="005C01CD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  <w:r w:rsidRPr="00E03AF4">
              <w:rPr>
                <w:rFonts w:ascii="Times New Roman" w:hAnsi="Times New Roman"/>
                <w:sz w:val="26"/>
                <w:szCs w:val="26"/>
              </w:rPr>
              <w:br/>
            </w: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(спеціальності: «Правознавство»/«Право»)</w:t>
            </w:r>
          </w:p>
        </w:tc>
      </w:tr>
      <w:tr w:rsidR="00644099" w:rsidRPr="002C13E2" w:rsidTr="005C01CD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D1088B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644099" w:rsidRPr="002C13E2" w:rsidTr="005C01CD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644099" w:rsidRPr="002C13E2" w:rsidTr="00D1088B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099" w:rsidRPr="00962A45" w:rsidRDefault="00644099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099" w:rsidRPr="00962A45" w:rsidRDefault="004A6B6A" w:rsidP="00D1088B">
            <w:pPr>
              <w:spacing w:after="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</w:t>
            </w:r>
          </w:p>
        </w:tc>
      </w:tr>
    </w:tbl>
    <w:p w:rsidR="00644099" w:rsidRPr="00767BBC" w:rsidRDefault="00644099" w:rsidP="00A371D4">
      <w:pPr>
        <w:rPr>
          <w:rFonts w:ascii="Times New Roman" w:hAnsi="Times New Roman"/>
          <w:sz w:val="26"/>
          <w:szCs w:val="26"/>
        </w:rPr>
      </w:pPr>
    </w:p>
    <w:sectPr w:rsidR="00644099" w:rsidRPr="00767BBC" w:rsidSect="006D1E0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37185"/>
    <w:rsid w:val="00055E4C"/>
    <w:rsid w:val="0006770E"/>
    <w:rsid w:val="000739F4"/>
    <w:rsid w:val="000E2B91"/>
    <w:rsid w:val="000E7270"/>
    <w:rsid w:val="00107345"/>
    <w:rsid w:val="00110BE4"/>
    <w:rsid w:val="00143A09"/>
    <w:rsid w:val="00153BEE"/>
    <w:rsid w:val="00162D55"/>
    <w:rsid w:val="00184DC3"/>
    <w:rsid w:val="00185D73"/>
    <w:rsid w:val="00192D1D"/>
    <w:rsid w:val="001C2F94"/>
    <w:rsid w:val="0020272F"/>
    <w:rsid w:val="00207470"/>
    <w:rsid w:val="00214F36"/>
    <w:rsid w:val="002343D8"/>
    <w:rsid w:val="00240BCB"/>
    <w:rsid w:val="00246B55"/>
    <w:rsid w:val="0028021D"/>
    <w:rsid w:val="0029083B"/>
    <w:rsid w:val="002A7B4E"/>
    <w:rsid w:val="002C13E2"/>
    <w:rsid w:val="002C6BA1"/>
    <w:rsid w:val="002C6F95"/>
    <w:rsid w:val="002D6FC6"/>
    <w:rsid w:val="002F52E5"/>
    <w:rsid w:val="00312BED"/>
    <w:rsid w:val="00314D12"/>
    <w:rsid w:val="00324142"/>
    <w:rsid w:val="00324810"/>
    <w:rsid w:val="00353607"/>
    <w:rsid w:val="00362AB1"/>
    <w:rsid w:val="0036699C"/>
    <w:rsid w:val="00393E23"/>
    <w:rsid w:val="003A10A0"/>
    <w:rsid w:val="003B3FA4"/>
    <w:rsid w:val="003B598B"/>
    <w:rsid w:val="003C6970"/>
    <w:rsid w:val="003D2E8A"/>
    <w:rsid w:val="003E4060"/>
    <w:rsid w:val="003E43BA"/>
    <w:rsid w:val="00403152"/>
    <w:rsid w:val="00404871"/>
    <w:rsid w:val="0041300A"/>
    <w:rsid w:val="00423CBD"/>
    <w:rsid w:val="004309F8"/>
    <w:rsid w:val="00442E8E"/>
    <w:rsid w:val="004665DA"/>
    <w:rsid w:val="00485288"/>
    <w:rsid w:val="004A0221"/>
    <w:rsid w:val="004A6B6A"/>
    <w:rsid w:val="00501855"/>
    <w:rsid w:val="005123AF"/>
    <w:rsid w:val="00517069"/>
    <w:rsid w:val="005223BF"/>
    <w:rsid w:val="00523230"/>
    <w:rsid w:val="00536D0A"/>
    <w:rsid w:val="00542F83"/>
    <w:rsid w:val="00551E52"/>
    <w:rsid w:val="0056456C"/>
    <w:rsid w:val="00564E86"/>
    <w:rsid w:val="005823F5"/>
    <w:rsid w:val="00583D9F"/>
    <w:rsid w:val="00584DB5"/>
    <w:rsid w:val="00594478"/>
    <w:rsid w:val="005C01CD"/>
    <w:rsid w:val="005F7AFF"/>
    <w:rsid w:val="00603BCD"/>
    <w:rsid w:val="0062174C"/>
    <w:rsid w:val="00622512"/>
    <w:rsid w:val="00632B16"/>
    <w:rsid w:val="0064167E"/>
    <w:rsid w:val="00644099"/>
    <w:rsid w:val="0065178E"/>
    <w:rsid w:val="006656CD"/>
    <w:rsid w:val="00666464"/>
    <w:rsid w:val="00667867"/>
    <w:rsid w:val="0068293B"/>
    <w:rsid w:val="006B36BC"/>
    <w:rsid w:val="006D1E08"/>
    <w:rsid w:val="006F44E6"/>
    <w:rsid w:val="00713A64"/>
    <w:rsid w:val="00725AD6"/>
    <w:rsid w:val="007320B5"/>
    <w:rsid w:val="00734C74"/>
    <w:rsid w:val="00744813"/>
    <w:rsid w:val="007616FA"/>
    <w:rsid w:val="00767BBC"/>
    <w:rsid w:val="007C0A7C"/>
    <w:rsid w:val="007E169F"/>
    <w:rsid w:val="00814C6B"/>
    <w:rsid w:val="008153F6"/>
    <w:rsid w:val="00853DCD"/>
    <w:rsid w:val="008717FA"/>
    <w:rsid w:val="0087758E"/>
    <w:rsid w:val="008A3F2F"/>
    <w:rsid w:val="008E28DB"/>
    <w:rsid w:val="008F2996"/>
    <w:rsid w:val="00902FCE"/>
    <w:rsid w:val="00916CAA"/>
    <w:rsid w:val="00917F50"/>
    <w:rsid w:val="00927EFF"/>
    <w:rsid w:val="00960DBA"/>
    <w:rsid w:val="00962A45"/>
    <w:rsid w:val="009A48BD"/>
    <w:rsid w:val="009E0222"/>
    <w:rsid w:val="009E6DB5"/>
    <w:rsid w:val="009F79B1"/>
    <w:rsid w:val="00A03962"/>
    <w:rsid w:val="00A12A0A"/>
    <w:rsid w:val="00A23713"/>
    <w:rsid w:val="00A309D2"/>
    <w:rsid w:val="00A328F0"/>
    <w:rsid w:val="00A351B3"/>
    <w:rsid w:val="00A35AC9"/>
    <w:rsid w:val="00A371D4"/>
    <w:rsid w:val="00A54E53"/>
    <w:rsid w:val="00A61B95"/>
    <w:rsid w:val="00A74612"/>
    <w:rsid w:val="00A83BED"/>
    <w:rsid w:val="00A87728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6054A"/>
    <w:rsid w:val="00B82BB3"/>
    <w:rsid w:val="00B923F8"/>
    <w:rsid w:val="00BB1553"/>
    <w:rsid w:val="00BD46E3"/>
    <w:rsid w:val="00BD5632"/>
    <w:rsid w:val="00BF3315"/>
    <w:rsid w:val="00C321D0"/>
    <w:rsid w:val="00C34755"/>
    <w:rsid w:val="00CA103C"/>
    <w:rsid w:val="00CA49AF"/>
    <w:rsid w:val="00CA57BE"/>
    <w:rsid w:val="00CB5914"/>
    <w:rsid w:val="00CD0A04"/>
    <w:rsid w:val="00CD46C7"/>
    <w:rsid w:val="00CD7BD6"/>
    <w:rsid w:val="00CE13A8"/>
    <w:rsid w:val="00D1088B"/>
    <w:rsid w:val="00D10DD8"/>
    <w:rsid w:val="00D22125"/>
    <w:rsid w:val="00D65A06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E03AF4"/>
    <w:rsid w:val="00E44F05"/>
    <w:rsid w:val="00E450A5"/>
    <w:rsid w:val="00E47AB5"/>
    <w:rsid w:val="00E64B5D"/>
    <w:rsid w:val="00E77530"/>
    <w:rsid w:val="00E847EE"/>
    <w:rsid w:val="00EB6742"/>
    <w:rsid w:val="00ED4038"/>
    <w:rsid w:val="00EE6498"/>
    <w:rsid w:val="00F00AF9"/>
    <w:rsid w:val="00F054E3"/>
    <w:rsid w:val="00F0594A"/>
    <w:rsid w:val="00F1136F"/>
    <w:rsid w:val="00F13039"/>
    <w:rsid w:val="00F23673"/>
    <w:rsid w:val="00F26052"/>
    <w:rsid w:val="00F35E0A"/>
    <w:rsid w:val="00F46ADA"/>
    <w:rsid w:val="00F60230"/>
    <w:rsid w:val="00F76A35"/>
    <w:rsid w:val="00F774FC"/>
    <w:rsid w:val="00F815B9"/>
    <w:rsid w:val="00F931D2"/>
    <w:rsid w:val="00FA11C0"/>
    <w:rsid w:val="00FA15B8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225A9-0679-4270-84A4-6BB1A80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732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19</cp:revision>
  <cp:lastPrinted>2020-10-05T13:26:00Z</cp:lastPrinted>
  <dcterms:created xsi:type="dcterms:W3CDTF">2020-11-02T15:54:00Z</dcterms:created>
  <dcterms:modified xsi:type="dcterms:W3CDTF">2020-11-03T16:25:00Z</dcterms:modified>
</cp:coreProperties>
</file>